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1"/>
        <w:spacing w:before="0" w:after="0" w:line="560" w:lineRule="exact"/>
        <w:jc w:val="center"/>
        <w:rPr>
          <w:rFonts w:hint="eastAsia" w:ascii="黑体" w:hAnsi="黑体" w:eastAsia="黑体" w:cs="黑体"/>
          <w:b w:val="0"/>
          <w:bCs w:val="0"/>
          <w:color w:val="5B9BD5" w:themeColor="accent1"/>
          <w:kern w:val="2"/>
          <w:sz w:val="44"/>
          <w:szCs w:val="44"/>
          <w:lang w:val="en-US" w:eastAsia="zh-CN"/>
          <w14:textFill>
            <w14:solidFill>
              <w14:schemeClr w14:val="accent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  <w:lang w:val="en-US" w:eastAsia="zh-CN"/>
        </w:rPr>
        <w:t>竞买人（买方）操作流程</w:t>
      </w:r>
    </w:p>
    <w:p>
      <w:pPr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一、入出金（建行）</w:t>
      </w:r>
    </w:p>
    <w:p>
      <w:pPr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入金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买方</w:t>
      </w:r>
      <w:r>
        <w:rPr>
          <w:rFonts w:hint="eastAsia" w:ascii="仿宋_GB2312" w:hAnsi="仿宋_GB2312" w:eastAsia="仿宋_GB2312" w:cs="仿宋_GB2312"/>
          <w:sz w:val="32"/>
          <w:szCs w:val="32"/>
        </w:rPr>
        <w:t>可通过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t>网银或柜台转账</w:t>
      </w:r>
      <w:r>
        <w:rPr>
          <w:rFonts w:hint="eastAsia" w:ascii="仿宋_GB2312" w:hAnsi="仿宋_GB2312" w:eastAsia="仿宋_GB2312" w:cs="仿宋_GB2312"/>
          <w:sz w:val="32"/>
          <w:szCs w:val="32"/>
        </w:rPr>
        <w:t>方式，将资金从银行账户划转至浙油中心存管账户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具体入金账号需通过浙油中心交易系统：</w:t>
      </w:r>
      <w:r>
        <w:rPr>
          <w:rFonts w:hint="eastAsia" w:ascii="仿宋_GB2312" w:hAnsi="仿宋_GB2312" w:eastAsia="仿宋_GB2312" w:cs="仿宋_GB2312"/>
          <w:sz w:val="32"/>
          <w:szCs w:val="32"/>
        </w:rPr>
        <w:t>【资金系统】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eastAsia" w:ascii="仿宋_GB2312" w:hAnsi="仿宋_GB2312" w:eastAsia="仿宋_GB2312" w:cs="仿宋_GB2312"/>
          <w:sz w:val="32"/>
          <w:szCs w:val="32"/>
        </w:rPr>
        <w:t>【资金账户管理】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eastAsia" w:ascii="仿宋_GB2312" w:hAnsi="仿宋_GB2312" w:eastAsia="仿宋_GB2312" w:cs="仿宋_GB2312"/>
          <w:sz w:val="32"/>
          <w:szCs w:val="32"/>
        </w:rPr>
        <w:t>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银行账户信息绑定</w:t>
      </w:r>
      <w:r>
        <w:rPr>
          <w:rFonts w:hint="eastAsia" w:ascii="仿宋_GB2312" w:hAnsi="仿宋_GB2312" w:eastAsia="仿宋_GB2312" w:cs="仿宋_GB2312"/>
          <w:sz w:val="32"/>
          <w:szCs w:val="32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查看，如下图所示：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eastAsia="仿宋_GB2312"/>
          <w:lang w:val="en-US" w:eastAsia="zh-CN"/>
        </w:rPr>
      </w:pPr>
      <w:r>
        <w:rPr>
          <w:sz w:val="21"/>
        </w:rPr>
        <w:drawing>
          <wp:inline distT="0" distB="0" distL="114300" distR="114300">
            <wp:extent cx="5609590" cy="1517650"/>
            <wp:effectExtent l="0" t="0" r="3810" b="6350"/>
            <wp:docPr id="19" name="图片 19" descr="162564865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1625648655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946785" y="4279900"/>
                      <a:ext cx="5609590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1"/>
        </w:rPr>
        <w:drawing>
          <wp:inline distT="0" distB="0" distL="114300" distR="114300">
            <wp:extent cx="5609590" cy="2357120"/>
            <wp:effectExtent l="0" t="0" r="3810" b="5080"/>
            <wp:docPr id="11" name="图片 11" descr="162564874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1625648747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978535" y="5873115"/>
                      <a:ext cx="5609590" cy="2357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出金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1.买方登录浙油中心交易系统，选择【资金系统】-【结算账户账务管理】-【结算账户转资金账户】。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</w:pPr>
      <w:r>
        <w:rPr>
          <w:rFonts w:hint="eastAsia" w:eastAsia="仿宋_GB2312"/>
          <w:lang w:eastAsia="zh-CN"/>
        </w:rPr>
        <w:drawing>
          <wp:inline distT="0" distB="0" distL="114300" distR="114300">
            <wp:extent cx="5450205" cy="2341880"/>
            <wp:effectExtent l="0" t="0" r="10795" b="7620"/>
            <wp:docPr id="5" name="图片 5" descr="3768e5c6aee65cea05d0b827d5b07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768e5c6aee65cea05d0b827d5b079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50205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买方登录浙油中心交易系统，选择【资金系统】-【资金账户账务管理】-【出金】。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</w:pPr>
      <w:r>
        <w:drawing>
          <wp:inline distT="0" distB="0" distL="0" distR="0">
            <wp:extent cx="3338195" cy="2764790"/>
            <wp:effectExtent l="0" t="0" r="1905" b="381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48051" cy="2773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二、拍卖流程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  <w:t>（一）查看拍卖场次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登录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浙油中心官网（www.zme.com.cn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查看拍卖公告。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  <w:t>（二）回应拍卖场次</w:t>
      </w:r>
    </w:p>
    <w:p>
      <w:pPr>
        <w:keepNext w:val="0"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lang w:val="en-US" w:eastAsia="zh-CN"/>
        </w:rPr>
        <w:t>登录浙油中心交易系统，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击并查看对应场次详情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确认参加此场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拍卖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后点击场次回应。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系统操作：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【现货招拍挂】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【我是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【采购拍卖管理】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【拍卖场次查询】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详情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【场次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回应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450205" cy="2092325"/>
            <wp:effectExtent l="0" t="0" r="10795" b="3175"/>
            <wp:docPr id="3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50205" cy="209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114300" distR="114300">
            <wp:extent cx="5450205" cy="3418205"/>
            <wp:effectExtent l="0" t="0" r="10795" b="10795"/>
            <wp:docPr id="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50205" cy="341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注：场次回应时会冻结买方订金，买方订金不足则无法入场竞拍。买方订金是由卖方设置拍卖专场时设定，作为拍卖入场资格及履约保证金使用，竞拍成功，买方订金自动转为货款。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 w:firstLineChars="0"/>
        <w:jc w:val="center"/>
        <w:textAlignment w:val="auto"/>
        <w:rPr>
          <w:rFonts w:hint="eastAsia" w:ascii="Times New Roman" w:hAnsi="Times New Roman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</w:p>
    <w:p>
      <w:pPr>
        <w:pStyle w:val="20"/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  <w:t>（三）竞价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拍卖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开始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点击详情，参与拍卖（出价）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出价方式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公开增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（1）买方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手动出价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；（2）系统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代理出价（当标段最新价不大于设定金额时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系统可代理按价格梯度出价）。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系统操作：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【现货招拍挂】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【我是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【采购拍卖管理】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【我回应的场次】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详情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参与拍卖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</w:p>
    <w:p>
      <w:pPr>
        <w:pStyle w:val="28"/>
        <w:bidi w:val="0"/>
        <w:rPr>
          <w:rFonts w:hint="default"/>
          <w:lang w:val="en-US" w:eastAsia="zh-CN"/>
        </w:rPr>
      </w:pPr>
      <w:r>
        <w:drawing>
          <wp:inline distT="0" distB="0" distL="114300" distR="114300">
            <wp:extent cx="5890260" cy="1690370"/>
            <wp:effectExtent l="0" t="0" r="2540" b="11430"/>
            <wp:docPr id="4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890260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8"/>
        <w:bidi w:val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448935" cy="2555875"/>
            <wp:effectExtent l="0" t="0" r="12065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4"/>
                    <a:srcRect l="113" r="3048"/>
                    <a:stretch>
                      <a:fillRect/>
                    </a:stretch>
                  </pic:blipFill>
                  <pic:spPr>
                    <a:xfrm>
                      <a:off x="949325" y="3810635"/>
                      <a:ext cx="5448935" cy="255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19700" cy="967740"/>
            <wp:effectExtent l="0" t="0" r="0" b="10160"/>
            <wp:docPr id="35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985520" y="6346825"/>
                      <a:ext cx="5219700" cy="96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</w:pPr>
    </w:p>
    <w:p>
      <w:pPr>
        <w:pStyle w:val="28"/>
        <w:bidi w:val="0"/>
      </w:pPr>
      <w:r>
        <w:drawing>
          <wp:inline distT="0" distB="0" distL="114300" distR="114300">
            <wp:extent cx="5450205" cy="1992630"/>
            <wp:effectExtent l="0" t="0" r="10795" b="1270"/>
            <wp:docPr id="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50205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jc w:val="both"/>
        <w:textAlignment w:val="auto"/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 w:val="0"/>
          <w:color w:val="auto"/>
          <w:sz w:val="32"/>
          <w:szCs w:val="32"/>
          <w:lang w:val="en-US" w:eastAsia="zh-CN"/>
        </w:rPr>
        <w:t>（四）查看竞价结果</w:t>
      </w:r>
    </w:p>
    <w:p>
      <w:pPr>
        <w:keepNext w:val="0"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Toc18511"/>
      <w:bookmarkStart w:id="1" w:name="_Toc196"/>
      <w:bookmarkStart w:id="2" w:name="_Toc22193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竞价结束后，系统根据成交原则自动评定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是否竞价成功。</w:t>
      </w:r>
      <w:bookmarkEnd w:id="0"/>
      <w:bookmarkEnd w:id="1"/>
      <w:bookmarkEnd w:id="2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如竞价未成功，系统自动解冻买方</w:t>
      </w:r>
      <w:bookmarkStart w:id="6" w:name="_GoBack"/>
      <w:bookmarkEnd w:id="6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订金。</w:t>
      </w:r>
    </w:p>
    <w:p>
      <w:pPr>
        <w:keepNext w:val="0"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系统操作：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【现货招拍挂】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【我是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买方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【采购拍卖管理】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【拍卖成交查询】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→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【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查看成交标段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】</w:t>
      </w:r>
    </w:p>
    <w:p>
      <w:pPr>
        <w:pStyle w:val="28"/>
        <w:bidi w:val="0"/>
      </w:pPr>
      <w:bookmarkStart w:id="3" w:name="_Toc15563"/>
      <w:bookmarkStart w:id="4" w:name="_Toc30164"/>
      <w:bookmarkStart w:id="5" w:name="_Toc15852"/>
      <w:r>
        <w:drawing>
          <wp:inline distT="0" distB="0" distL="114300" distR="114300">
            <wp:extent cx="5625465" cy="1569720"/>
            <wp:effectExtent l="0" t="0" r="635" b="5080"/>
            <wp:docPr id="2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25465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  <w:bookmarkEnd w:id="4"/>
      <w:bookmarkEnd w:id="5"/>
    </w:p>
    <w:p>
      <w:pPr>
        <w:pStyle w:val="28"/>
        <w:bidi w:val="0"/>
        <w:rPr>
          <w:rFonts w:hint="default"/>
          <w:lang w:val="en-US" w:eastAsia="zh-CN"/>
        </w:rPr>
      </w:pPr>
    </w:p>
    <w:sectPr>
      <w:footerReference r:id="rId5" w:type="first"/>
      <w:headerReference r:id="rId3" w:type="default"/>
      <w:footerReference r:id="rId4" w:type="default"/>
      <w:pgSz w:w="11907" w:h="16839"/>
      <w:pgMar w:top="2155" w:right="1531" w:bottom="2155" w:left="1531" w:header="851" w:footer="1587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宋体" w:hAnsi="宋体" w:eastAsia="宋体"/>
        <w:sz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848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" name="文本框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ind w:left="210" w:leftChars="100" w:right="210" w:rightChars="100"/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848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KyQwkTAgAAFQ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CyskMJEwIAABU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ind w:left="210" w:leftChars="100" w:right="210" w:rightChars="100"/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9250848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A671F4"/>
    <w:multiLevelType w:val="singleLevel"/>
    <w:tmpl w:val="DCA671F4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A6B"/>
    <w:rsid w:val="00002649"/>
    <w:rsid w:val="00077F6D"/>
    <w:rsid w:val="000E52FF"/>
    <w:rsid w:val="000F0980"/>
    <w:rsid w:val="00151760"/>
    <w:rsid w:val="00201571"/>
    <w:rsid w:val="00203D15"/>
    <w:rsid w:val="00215DAF"/>
    <w:rsid w:val="00226354"/>
    <w:rsid w:val="00265C33"/>
    <w:rsid w:val="002731F3"/>
    <w:rsid w:val="002A0DD2"/>
    <w:rsid w:val="002A22B3"/>
    <w:rsid w:val="002B3104"/>
    <w:rsid w:val="002E7269"/>
    <w:rsid w:val="003917C0"/>
    <w:rsid w:val="00411610"/>
    <w:rsid w:val="004232C1"/>
    <w:rsid w:val="00473829"/>
    <w:rsid w:val="004B0679"/>
    <w:rsid w:val="00560739"/>
    <w:rsid w:val="00571387"/>
    <w:rsid w:val="005C65D9"/>
    <w:rsid w:val="0065021E"/>
    <w:rsid w:val="006B10CE"/>
    <w:rsid w:val="00754709"/>
    <w:rsid w:val="007C26AA"/>
    <w:rsid w:val="008604EB"/>
    <w:rsid w:val="008B5A6B"/>
    <w:rsid w:val="008E05FF"/>
    <w:rsid w:val="0090756D"/>
    <w:rsid w:val="0094216F"/>
    <w:rsid w:val="00985984"/>
    <w:rsid w:val="009B44D6"/>
    <w:rsid w:val="00A257E1"/>
    <w:rsid w:val="00A52D8F"/>
    <w:rsid w:val="00AB535E"/>
    <w:rsid w:val="00AC441D"/>
    <w:rsid w:val="00AE794A"/>
    <w:rsid w:val="00B06877"/>
    <w:rsid w:val="00B115D8"/>
    <w:rsid w:val="00B2174B"/>
    <w:rsid w:val="00B256F8"/>
    <w:rsid w:val="00B2574A"/>
    <w:rsid w:val="00B465C9"/>
    <w:rsid w:val="00B66767"/>
    <w:rsid w:val="00BA0AEC"/>
    <w:rsid w:val="00BA73D1"/>
    <w:rsid w:val="00BC4EF9"/>
    <w:rsid w:val="00C216C2"/>
    <w:rsid w:val="00C83421"/>
    <w:rsid w:val="00C9215A"/>
    <w:rsid w:val="00CE1354"/>
    <w:rsid w:val="00D42A53"/>
    <w:rsid w:val="00D55C7E"/>
    <w:rsid w:val="00D92659"/>
    <w:rsid w:val="00E03031"/>
    <w:rsid w:val="00E570EA"/>
    <w:rsid w:val="00E618A8"/>
    <w:rsid w:val="00E77B98"/>
    <w:rsid w:val="00EA5A75"/>
    <w:rsid w:val="00EB233D"/>
    <w:rsid w:val="00F00E1A"/>
    <w:rsid w:val="00F722E1"/>
    <w:rsid w:val="00F878A6"/>
    <w:rsid w:val="00FB29D2"/>
    <w:rsid w:val="00FE57BB"/>
    <w:rsid w:val="00FF63CE"/>
    <w:rsid w:val="02C43382"/>
    <w:rsid w:val="048B4DC8"/>
    <w:rsid w:val="06C25F2C"/>
    <w:rsid w:val="08686E34"/>
    <w:rsid w:val="08D71E18"/>
    <w:rsid w:val="09E15E20"/>
    <w:rsid w:val="09FB53AB"/>
    <w:rsid w:val="0C8E481D"/>
    <w:rsid w:val="0DE400E2"/>
    <w:rsid w:val="0DEF7038"/>
    <w:rsid w:val="0E7F5971"/>
    <w:rsid w:val="101B448F"/>
    <w:rsid w:val="12A87686"/>
    <w:rsid w:val="13A91FAF"/>
    <w:rsid w:val="14D22383"/>
    <w:rsid w:val="16372E9A"/>
    <w:rsid w:val="186018F7"/>
    <w:rsid w:val="188D2D85"/>
    <w:rsid w:val="19C750C6"/>
    <w:rsid w:val="1A4E016C"/>
    <w:rsid w:val="1AE458B3"/>
    <w:rsid w:val="1BBF7511"/>
    <w:rsid w:val="1BFF6FFC"/>
    <w:rsid w:val="1C720820"/>
    <w:rsid w:val="200E5350"/>
    <w:rsid w:val="20CF4616"/>
    <w:rsid w:val="225F5377"/>
    <w:rsid w:val="230133B8"/>
    <w:rsid w:val="24D03FB3"/>
    <w:rsid w:val="257D4A78"/>
    <w:rsid w:val="25845E5F"/>
    <w:rsid w:val="2615711A"/>
    <w:rsid w:val="26EC16D8"/>
    <w:rsid w:val="29221BC1"/>
    <w:rsid w:val="296E4837"/>
    <w:rsid w:val="299F7AF3"/>
    <w:rsid w:val="2A8B116F"/>
    <w:rsid w:val="2CCC0C23"/>
    <w:rsid w:val="2E91314C"/>
    <w:rsid w:val="358A3256"/>
    <w:rsid w:val="381E347F"/>
    <w:rsid w:val="39B16F56"/>
    <w:rsid w:val="39DB74B3"/>
    <w:rsid w:val="3A2712AE"/>
    <w:rsid w:val="3A4D11F8"/>
    <w:rsid w:val="3AAF7C13"/>
    <w:rsid w:val="3B2E797D"/>
    <w:rsid w:val="3D4E39B1"/>
    <w:rsid w:val="444619A3"/>
    <w:rsid w:val="466E0DAF"/>
    <w:rsid w:val="4A4100D4"/>
    <w:rsid w:val="50004934"/>
    <w:rsid w:val="5416661D"/>
    <w:rsid w:val="56636218"/>
    <w:rsid w:val="56D63966"/>
    <w:rsid w:val="57B80045"/>
    <w:rsid w:val="58A16E7F"/>
    <w:rsid w:val="5AAF35C2"/>
    <w:rsid w:val="5F881CD1"/>
    <w:rsid w:val="5FA96E93"/>
    <w:rsid w:val="608D5017"/>
    <w:rsid w:val="612F1A7F"/>
    <w:rsid w:val="628F19C8"/>
    <w:rsid w:val="63AC67F3"/>
    <w:rsid w:val="63EB50EA"/>
    <w:rsid w:val="647A370F"/>
    <w:rsid w:val="64E36B75"/>
    <w:rsid w:val="684E7BB9"/>
    <w:rsid w:val="6A71152F"/>
    <w:rsid w:val="6C7D7193"/>
    <w:rsid w:val="6D0B11D7"/>
    <w:rsid w:val="6E4B7151"/>
    <w:rsid w:val="70CE3A4A"/>
    <w:rsid w:val="71412FC5"/>
    <w:rsid w:val="722A24D8"/>
    <w:rsid w:val="73C126CD"/>
    <w:rsid w:val="742273CE"/>
    <w:rsid w:val="745C3D54"/>
    <w:rsid w:val="76405682"/>
    <w:rsid w:val="769E365F"/>
    <w:rsid w:val="78046E4E"/>
    <w:rsid w:val="79E4311D"/>
    <w:rsid w:val="7A3C3456"/>
    <w:rsid w:val="7B760C08"/>
    <w:rsid w:val="7DB7368C"/>
    <w:rsid w:val="7E8B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  <w:pPr>
      <w:tabs>
        <w:tab w:val="right" w:leader="dot" w:pos="8296"/>
      </w:tabs>
      <w:spacing w:line="460" w:lineRule="exact"/>
    </w:pPr>
  </w:style>
  <w:style w:type="paragraph" w:styleId="8">
    <w:name w:val="toc 2"/>
    <w:basedOn w:val="1"/>
    <w:next w:val="1"/>
    <w:unhideWhenUsed/>
    <w:qFormat/>
    <w:uiPriority w:val="39"/>
    <w:pPr>
      <w:tabs>
        <w:tab w:val="right" w:leader="dot" w:pos="8296"/>
      </w:tabs>
      <w:spacing w:line="460" w:lineRule="exact"/>
      <w:ind w:left="420" w:leftChars="200"/>
    </w:p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0">
    <w:name w:val="annotation subject"/>
    <w:basedOn w:val="3"/>
    <w:next w:val="3"/>
    <w:link w:val="24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页眉 Char"/>
    <w:basedOn w:val="13"/>
    <w:link w:val="6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5"/>
    <w:qFormat/>
    <w:uiPriority w:val="99"/>
    <w:rPr>
      <w:sz w:val="18"/>
      <w:szCs w:val="18"/>
    </w:rPr>
  </w:style>
  <w:style w:type="character" w:customStyle="1" w:styleId="18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9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paragraph" w:styleId="21">
    <w:name w:val="No Spacing"/>
    <w:link w:val="22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22">
    <w:name w:val="无间隔 Char"/>
    <w:basedOn w:val="13"/>
    <w:link w:val="21"/>
    <w:qFormat/>
    <w:uiPriority w:val="1"/>
    <w:rPr>
      <w:kern w:val="0"/>
      <w:sz w:val="22"/>
    </w:rPr>
  </w:style>
  <w:style w:type="character" w:customStyle="1" w:styleId="23">
    <w:name w:val="批注文字 Char"/>
    <w:basedOn w:val="13"/>
    <w:link w:val="3"/>
    <w:semiHidden/>
    <w:qFormat/>
    <w:uiPriority w:val="99"/>
  </w:style>
  <w:style w:type="character" w:customStyle="1" w:styleId="24">
    <w:name w:val="批注主题 Char"/>
    <w:basedOn w:val="23"/>
    <w:link w:val="10"/>
    <w:semiHidden/>
    <w:qFormat/>
    <w:uiPriority w:val="99"/>
    <w:rPr>
      <w:b/>
      <w:bCs/>
    </w:rPr>
  </w:style>
  <w:style w:type="character" w:customStyle="1" w:styleId="25">
    <w:name w:val="批注框文本 Char"/>
    <w:basedOn w:val="13"/>
    <w:link w:val="4"/>
    <w:semiHidden/>
    <w:qFormat/>
    <w:uiPriority w:val="99"/>
    <w:rPr>
      <w:sz w:val="18"/>
      <w:szCs w:val="18"/>
    </w:rPr>
  </w:style>
  <w:style w:type="paragraph" w:customStyle="1" w:styleId="26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7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8">
    <w:name w:val="图片1"/>
    <w:qFormat/>
    <w:uiPriority w:val="0"/>
    <w:pPr>
      <w:ind w:leftChars="0"/>
      <w:jc w:val="center"/>
    </w:pPr>
    <w:rPr>
      <w:rFonts w:ascii="+西文正文" w:hAnsi="+西文正文" w:eastAsia="+中文正文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3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overPageProperties xmlns="http://schemas.microsoft.com/office/2006/coverPageProps">
  <PublishDate>2019-01-01T00:00:00</PublishDate>
  <Abstract/>
  <CompanyAddress/>
  <CompanyPhone/>
  <CompanyFax/>
  <CompanyEmail/>
</CoverPage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5AF091B-3C7A-41E3-B477-F2FDAA23CFDA}">
  <ds:schemaRefs/>
</ds:datastoreItem>
</file>

<file path=customXml/itemProps3.xml><?xml version="1.0" encoding="utf-8"?>
<ds:datastoreItem xmlns:ds="http://schemas.openxmlformats.org/officeDocument/2006/customXml" ds:itemID="{DDF3BBB4-9361-4E28-BCFE-468EEB7BDE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浙江石油化工交易中心有限公司</Company>
  <Pages>12</Pages>
  <Words>528</Words>
  <Characters>3014</Characters>
  <Lines>25</Lines>
  <Paragraphs>7</Paragraphs>
  <TotalTime>4</TotalTime>
  <ScaleCrop>false</ScaleCrop>
  <LinksUpToDate>false</LinksUpToDate>
  <CharactersWithSpaces>3535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2019-05-16T07:26:00Z</dcterms:created>
  <dc:creator>Admin</dc:creator>
  <cp:lastModifiedBy>孙艳</cp:lastModifiedBy>
  <dcterms:modified xsi:type="dcterms:W3CDTF">2021-12-03T10:48:11Z</dcterms:modified>
  <dc:title>浙江石油化工交易中心有限公司现货挂牌交易手册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