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Toc47963863"/>
      <w:bookmarkStart w:id="1" w:name="_Hlk3742455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浙江国际油气交易中心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线上交易会员开户指南</w:t>
      </w:r>
    </w:p>
    <w:p>
      <w:pPr>
        <w:rPr>
          <w:rFonts w:hint="eastAsia"/>
          <w:color w:val="auto"/>
        </w:rPr>
      </w:pPr>
    </w:p>
    <w:bookmarkEnd w:id="0"/>
    <w:p>
      <w:pPr>
        <w:spacing w:line="560" w:lineRule="exact"/>
        <w:ind w:firstLine="640" w:firstLineChars="200"/>
        <w:outlineLvl w:val="0"/>
        <w:rPr>
          <w:rFonts w:ascii="黑体" w:hAnsi="黑体" w:eastAsia="黑体"/>
          <w:color w:val="auto"/>
        </w:rPr>
      </w:pPr>
      <w:bookmarkStart w:id="2" w:name="_Toc47963864"/>
      <w:r>
        <w:rPr>
          <w:rFonts w:hint="eastAsia" w:ascii="黑体" w:hAnsi="黑体" w:eastAsia="黑体"/>
          <w:color w:val="auto"/>
          <w:lang w:val="en-US" w:eastAsia="zh-CN"/>
        </w:rPr>
        <w:t>一</w:t>
      </w:r>
      <w:r>
        <w:rPr>
          <w:rFonts w:hint="eastAsia" w:ascii="黑体" w:hAnsi="黑体" w:eastAsia="黑体"/>
          <w:color w:val="auto"/>
        </w:rPr>
        <w:t>、</w:t>
      </w:r>
      <w:r>
        <w:rPr>
          <w:rFonts w:hint="eastAsia" w:ascii="黑体" w:hAnsi="黑体" w:eastAsia="黑体"/>
          <w:color w:val="auto"/>
          <w:lang w:val="en-US" w:eastAsia="zh-CN"/>
        </w:rPr>
        <w:t>线上交易会员注册</w:t>
      </w:r>
      <w:r>
        <w:rPr>
          <w:rFonts w:hint="eastAsia" w:ascii="黑体" w:hAnsi="黑体" w:eastAsia="黑体"/>
          <w:color w:val="auto"/>
        </w:rPr>
        <w:t>流程</w:t>
      </w:r>
      <w:bookmarkEnd w:id="2"/>
    </w:p>
    <w:p>
      <w:pPr>
        <w:spacing w:line="560" w:lineRule="exact"/>
        <w:ind w:firstLine="640" w:firstLineChars="200"/>
        <w:rPr>
          <w:rFonts w:hint="eastAsia" w:eastAsia="仿宋_GB2312"/>
          <w:color w:val="auto"/>
          <w:u w:val="none"/>
          <w:lang w:eastAsia="zh-CN"/>
        </w:rPr>
      </w:pPr>
      <w:r>
        <w:rPr>
          <w:color w:val="auto"/>
        </w:rPr>
        <w:t>1</w:t>
      </w:r>
      <w:r>
        <w:rPr>
          <w:rFonts w:hint="eastAsia"/>
          <w:color w:val="auto"/>
        </w:rPr>
        <w:t>．</w:t>
      </w:r>
      <w:r>
        <w:rPr>
          <w:rFonts w:hint="eastAsia"/>
          <w:color w:val="auto"/>
          <w:lang w:val="en-US" w:eastAsia="zh-CN"/>
        </w:rPr>
        <w:t>准备以下材料，复印后加盖公章并扫描：</w:t>
      </w:r>
      <w:r>
        <w:rPr>
          <w:rFonts w:hint="eastAsia"/>
          <w:color w:val="auto"/>
          <w:u w:val="none"/>
        </w:rPr>
        <w:t>营业执照复印件；企业法定代表人</w:t>
      </w:r>
      <w:r>
        <w:rPr>
          <w:rFonts w:hint="eastAsia"/>
          <w:color w:val="auto"/>
          <w:u w:val="none"/>
          <w:lang w:val="en-US" w:eastAsia="zh-CN"/>
        </w:rPr>
        <w:t>/</w:t>
      </w:r>
      <w:r>
        <w:rPr>
          <w:rFonts w:hint="eastAsia"/>
          <w:color w:val="auto"/>
          <w:u w:val="none"/>
        </w:rPr>
        <w:t>非法人组织负责人身份证复印件；</w:t>
      </w:r>
      <w:r>
        <w:rPr>
          <w:rFonts w:hint="eastAsia"/>
          <w:color w:val="auto"/>
          <w:u w:val="none"/>
          <w:lang w:val="en-US" w:eastAsia="zh-CN"/>
        </w:rPr>
        <w:t>指定联系人</w:t>
      </w:r>
      <w:r>
        <w:rPr>
          <w:rFonts w:hint="eastAsia"/>
          <w:color w:val="auto"/>
          <w:u w:val="none"/>
        </w:rPr>
        <w:t>身份证复印件</w:t>
      </w:r>
      <w:r>
        <w:rPr>
          <w:rFonts w:hint="eastAsia"/>
          <w:color w:val="auto"/>
          <w:u w:val="none"/>
          <w:lang w:eastAsia="zh-CN"/>
        </w:rPr>
        <w:t>；</w:t>
      </w:r>
      <w:r>
        <w:rPr>
          <w:rFonts w:hint="eastAsia"/>
          <w:color w:val="auto"/>
        </w:rPr>
        <w:t>危险化学品经营许可证复印件（如有）</w:t>
      </w:r>
      <w:r>
        <w:rPr>
          <w:rFonts w:hint="eastAsia"/>
          <w:color w:val="auto"/>
          <w:lang w:eastAsia="zh-CN"/>
        </w:rPr>
        <w:t>。</w:t>
      </w:r>
      <w:r>
        <w:rPr>
          <w:rFonts w:hint="eastAsia"/>
          <w:color w:val="auto"/>
        </w:rPr>
        <w:t>扫描件要求：jpg、jpeg、png、gif格式，5M以内</w:t>
      </w:r>
      <w:r>
        <w:rPr>
          <w:rFonts w:hint="eastAsia"/>
          <w:color w:val="auto"/>
          <w:lang w:eastAsia="zh-CN"/>
        </w:rPr>
        <w:t>。</w:t>
      </w:r>
    </w:p>
    <w:p>
      <w:pPr>
        <w:spacing w:line="560" w:lineRule="exact"/>
        <w:ind w:firstLine="640" w:firstLineChars="200"/>
        <w:rPr>
          <w:color w:val="auto"/>
        </w:rPr>
      </w:pPr>
      <w:r>
        <w:rPr>
          <w:rFonts w:hint="eastAsia"/>
          <w:color w:val="auto"/>
          <w:lang w:val="en-US" w:eastAsia="zh-CN"/>
        </w:rPr>
        <w:t>2. 登录</w:t>
      </w:r>
      <w:r>
        <w:rPr>
          <w:rFonts w:hint="eastAsia"/>
          <w:color w:val="auto"/>
        </w:rPr>
        <w:t>浙油中心官网</w:t>
      </w:r>
      <w:r>
        <w:rPr>
          <w:rFonts w:hint="eastAsia"/>
          <w:color w:val="auto"/>
          <w:lang w:val="en-US" w:eastAsia="zh-CN"/>
        </w:rPr>
        <w:t>www.zme.com.cn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点击“在线开户”</w:t>
      </w:r>
      <w:r>
        <w:rPr>
          <w:rFonts w:hint="eastAsia"/>
          <w:color w:val="auto"/>
        </w:rPr>
        <w:t>（见图1）</w:t>
      </w:r>
      <w:r>
        <w:rPr>
          <w:rFonts w:hint="eastAsia"/>
          <w:color w:val="auto"/>
          <w:lang w:val="en-US" w:eastAsia="zh-CN"/>
        </w:rPr>
        <w:t>按要求</w:t>
      </w:r>
      <w:r>
        <w:rPr>
          <w:rFonts w:hint="eastAsia"/>
          <w:color w:val="auto"/>
        </w:rPr>
        <w:t>填写</w:t>
      </w:r>
      <w:r>
        <w:rPr>
          <w:rFonts w:hint="eastAsia"/>
          <w:color w:val="auto"/>
          <w:lang w:val="en-US" w:eastAsia="zh-CN"/>
        </w:rPr>
        <w:t>相关内容</w:t>
      </w:r>
      <w:r>
        <w:rPr>
          <w:rFonts w:hint="eastAsia"/>
          <w:color w:val="auto"/>
        </w:rPr>
        <w:t>并上传资料，提交注册申请</w:t>
      </w:r>
      <w:r>
        <w:rPr>
          <w:rFonts w:hint="eastAsia"/>
          <w:color w:val="auto"/>
          <w:lang w:eastAsia="zh-CN"/>
        </w:rPr>
        <w:t>。</w:t>
      </w:r>
    </w:p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5023485" cy="1799590"/>
            <wp:effectExtent l="0" t="0" r="5715" b="381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3982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center"/>
        <w:rPr>
          <w:color w:val="auto"/>
          <w:sz w:val="24"/>
          <w:szCs w:val="20"/>
        </w:rPr>
      </w:pPr>
      <w:r>
        <w:rPr>
          <w:rFonts w:hint="eastAsia"/>
          <w:color w:val="auto"/>
          <w:sz w:val="24"/>
          <w:szCs w:val="20"/>
        </w:rPr>
        <w:t>图1</w:t>
      </w:r>
      <w:r>
        <w:rPr>
          <w:color w:val="auto"/>
          <w:sz w:val="24"/>
          <w:szCs w:val="20"/>
        </w:rPr>
        <w:t xml:space="preserve"> </w:t>
      </w:r>
      <w:r>
        <w:rPr>
          <w:rFonts w:hint="eastAsia"/>
          <w:color w:val="auto"/>
          <w:sz w:val="24"/>
          <w:szCs w:val="20"/>
        </w:rPr>
        <w:t>浙油中心官网</w:t>
      </w:r>
      <w:bookmarkStart w:id="5" w:name="_GoBack"/>
    </w:p>
    <w:p>
      <w:pPr>
        <w:jc w:val="center"/>
        <w:rPr>
          <w:rFonts w:hint="eastAsia" w:eastAsia="仿宋_GB2312"/>
          <w:color w:val="auto"/>
          <w:lang w:eastAsia="zh-CN"/>
        </w:rPr>
      </w:pPr>
      <w:r>
        <w:rPr>
          <w:rFonts w:hint="eastAsia" w:eastAsia="仿宋_GB2312"/>
          <w:color w:val="auto"/>
          <w:lang w:eastAsia="zh-CN"/>
        </w:rPr>
        <w:drawing>
          <wp:inline distT="0" distB="0" distL="114300" distR="114300">
            <wp:extent cx="2635250" cy="4978400"/>
            <wp:effectExtent l="0" t="0" r="6350" b="0"/>
            <wp:docPr id="6" name="图片 6" descr="163573467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5734670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5250" cy="49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center"/>
        <w:rPr>
          <w:color w:val="auto"/>
        </w:rPr>
      </w:pPr>
      <w:r>
        <w:rPr>
          <w:rFonts w:hint="eastAsia"/>
          <w:color w:val="auto"/>
          <w:sz w:val="24"/>
          <w:szCs w:val="20"/>
        </w:rPr>
        <w:t>图</w:t>
      </w:r>
      <w:r>
        <w:rPr>
          <w:color w:val="auto"/>
          <w:sz w:val="24"/>
          <w:szCs w:val="20"/>
        </w:rPr>
        <w:t xml:space="preserve">2 </w:t>
      </w:r>
      <w:r>
        <w:rPr>
          <w:rFonts w:hint="eastAsia"/>
          <w:color w:val="auto"/>
          <w:sz w:val="24"/>
          <w:szCs w:val="20"/>
        </w:rPr>
        <w:t>开户页面</w:t>
      </w:r>
    </w:p>
    <w:p>
      <w:pPr>
        <w:spacing w:line="560" w:lineRule="exact"/>
        <w:ind w:firstLine="640" w:firstLineChars="200"/>
        <w:rPr>
          <w:color w:val="auto"/>
        </w:rPr>
      </w:pP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．浙油中心审核通过后，会以短信形式提醒注册成功，并告知交易账号。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/>
          <w:color w:val="auto"/>
          <w:lang w:val="en-US" w:eastAsia="zh-CN"/>
        </w:rPr>
      </w:pPr>
      <w:bookmarkStart w:id="3" w:name="_Toc47963865"/>
      <w:r>
        <w:rPr>
          <w:rFonts w:hint="eastAsia" w:ascii="黑体" w:hAnsi="黑体" w:eastAsia="黑体"/>
          <w:color w:val="auto"/>
          <w:lang w:val="en-US" w:eastAsia="zh-CN"/>
        </w:rPr>
        <w:t>二</w:t>
      </w:r>
      <w:r>
        <w:rPr>
          <w:rFonts w:hint="eastAsia" w:ascii="黑体" w:hAnsi="黑体" w:eastAsia="黑体"/>
          <w:color w:val="auto"/>
        </w:rPr>
        <w:t>、</w:t>
      </w:r>
      <w:r>
        <w:rPr>
          <w:rFonts w:hint="eastAsia" w:ascii="黑体" w:hAnsi="黑体" w:eastAsia="黑体"/>
          <w:color w:val="auto"/>
          <w:lang w:val="en-US" w:eastAsia="zh-CN"/>
        </w:rPr>
        <w:t>开通</w:t>
      </w:r>
      <w:r>
        <w:rPr>
          <w:rFonts w:hint="eastAsia" w:ascii="黑体" w:hAnsi="黑体" w:eastAsia="黑体"/>
          <w:color w:val="auto"/>
        </w:rPr>
        <w:t>交易权限</w:t>
      </w:r>
      <w:bookmarkEnd w:id="3"/>
      <w:r>
        <w:rPr>
          <w:rFonts w:hint="eastAsia" w:ascii="黑体" w:hAnsi="黑体" w:eastAsia="黑体"/>
          <w:color w:val="auto"/>
          <w:lang w:val="en-US" w:eastAsia="zh-CN"/>
        </w:rPr>
        <w:t>流程</w:t>
      </w:r>
    </w:p>
    <w:p>
      <w:pPr>
        <w:spacing w:line="560" w:lineRule="exact"/>
        <w:ind w:firstLine="640" w:firstLineChars="200"/>
        <w:rPr>
          <w:color w:val="auto"/>
        </w:rPr>
      </w:pPr>
      <w:r>
        <w:rPr>
          <w:rFonts w:hint="eastAsia"/>
          <w:color w:val="auto"/>
          <w:lang w:val="en-US" w:eastAsia="zh-CN"/>
        </w:rPr>
        <w:t>注册</w:t>
      </w:r>
      <w:r>
        <w:rPr>
          <w:rFonts w:hint="eastAsia"/>
          <w:color w:val="auto"/>
        </w:rPr>
        <w:t>成为</w:t>
      </w:r>
      <w:r>
        <w:rPr>
          <w:rFonts w:hint="eastAsia"/>
          <w:color w:val="auto"/>
          <w:lang w:val="en-US" w:eastAsia="zh-CN"/>
        </w:rPr>
        <w:t>线上交易</w:t>
      </w:r>
      <w:r>
        <w:rPr>
          <w:rFonts w:hint="eastAsia"/>
          <w:color w:val="auto"/>
        </w:rPr>
        <w:t>会员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简称“会员”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</w:rPr>
        <w:t>后可申请</w:t>
      </w:r>
      <w:r>
        <w:rPr>
          <w:rFonts w:hint="eastAsia"/>
          <w:color w:val="auto"/>
          <w:lang w:val="en-US" w:eastAsia="zh-CN"/>
        </w:rPr>
        <w:t>开通浙油中心的线上</w:t>
      </w:r>
      <w:r>
        <w:rPr>
          <w:rFonts w:hint="eastAsia"/>
          <w:color w:val="auto"/>
        </w:rPr>
        <w:t>交易权限。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ascii="楷体_GB2312" w:eastAsia="楷体_GB2312"/>
          <w:b/>
          <w:bCs/>
          <w:color w:val="auto"/>
        </w:rPr>
      </w:pPr>
      <w:r>
        <w:rPr>
          <w:rFonts w:hint="eastAsia"/>
          <w:color w:val="auto"/>
          <w:lang w:val="en-US" w:eastAsia="zh-CN"/>
        </w:rPr>
        <w:t xml:space="preserve">1. </w:t>
      </w:r>
      <w:r>
        <w:rPr>
          <w:rFonts w:hint="eastAsia"/>
          <w:color w:val="auto"/>
        </w:rPr>
        <w:t>登录浙油中心</w:t>
      </w:r>
      <w:r>
        <w:rPr>
          <w:rFonts w:hint="eastAsia"/>
          <w:color w:val="auto"/>
          <w:lang w:val="en-US" w:eastAsia="zh-CN"/>
        </w:rPr>
        <w:t>官网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点击【进入交易】-</w:t>
      </w:r>
      <w:r>
        <w:rPr>
          <w:rFonts w:hint="eastAsia" w:ascii="Arial" w:hAnsi="Arial" w:cs="Arial"/>
          <w:color w:val="auto"/>
          <w:lang w:val="en-US" w:eastAsia="zh-CN"/>
        </w:rPr>
        <w:t>【用户信息】-</w:t>
      </w:r>
      <w:r>
        <w:rPr>
          <w:rFonts w:hint="eastAsia"/>
          <w:color w:val="auto"/>
          <w:lang w:val="en-US" w:eastAsia="zh-CN"/>
        </w:rPr>
        <w:t>【交易权限申请】-</w:t>
      </w:r>
      <w:r>
        <w:rPr>
          <w:rFonts w:hint="eastAsia" w:ascii="Arial" w:hAnsi="Arial" w:cs="Arial"/>
          <w:color w:val="auto"/>
          <w:lang w:val="en-US" w:eastAsia="zh-CN"/>
        </w:rPr>
        <w:t>【招拍挂会员】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eastAsia"/>
          <w:color w:val="auto"/>
        </w:rPr>
        <w:t>阅读</w:t>
      </w:r>
      <w:r>
        <w:rPr>
          <w:rFonts w:hint="eastAsia"/>
          <w:color w:val="auto"/>
          <w:lang w:val="en-US" w:eastAsia="zh-CN"/>
        </w:rPr>
        <w:t>相关文件，确认后</w:t>
      </w:r>
      <w:r>
        <w:rPr>
          <w:rFonts w:hint="eastAsia"/>
          <w:color w:val="auto"/>
        </w:rPr>
        <w:t>提交申请。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见图3</w:t>
      </w:r>
      <w:r>
        <w:rPr>
          <w:rFonts w:hint="eastAsia"/>
          <w:color w:val="auto"/>
          <w:lang w:eastAsia="zh-CN"/>
        </w:rPr>
        <w:t>）</w:t>
      </w:r>
      <w:r>
        <w:rPr>
          <w:rFonts w:ascii="楷体_GB2312" w:eastAsia="楷体_GB2312"/>
          <w:b/>
          <w:bCs/>
        </w:rPr>
        <w:drawing>
          <wp:inline distT="0" distB="0" distL="0" distR="0">
            <wp:extent cx="5318125" cy="2519680"/>
            <wp:effectExtent l="0" t="0" r="3175" b="762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839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0" w:firstLineChars="0"/>
        <w:jc w:val="center"/>
        <w:rPr>
          <w:rFonts w:hint="default"/>
          <w:color w:val="auto"/>
          <w:sz w:val="24"/>
          <w:szCs w:val="20"/>
          <w:lang w:val="en-US" w:eastAsia="zh-CN"/>
        </w:rPr>
      </w:pPr>
      <w:r>
        <w:rPr>
          <w:rFonts w:hint="eastAsia"/>
          <w:color w:val="auto"/>
          <w:sz w:val="24"/>
          <w:szCs w:val="20"/>
        </w:rPr>
        <w:t>图</w:t>
      </w:r>
      <w:r>
        <w:rPr>
          <w:rFonts w:hint="eastAsia"/>
          <w:color w:val="auto"/>
          <w:sz w:val="24"/>
          <w:szCs w:val="20"/>
          <w:lang w:val="en-US" w:eastAsia="zh-CN"/>
        </w:rPr>
        <w:t>3 业务资格申请页面</w:t>
      </w:r>
    </w:p>
    <w:p>
      <w:pPr>
        <w:numPr>
          <w:ilvl w:val="-1"/>
          <w:numId w:val="0"/>
        </w:numPr>
        <w:spacing w:line="560" w:lineRule="exact"/>
        <w:ind w:left="0" w:firstLine="640" w:firstLineChars="200"/>
        <w:outlineLvl w:val="0"/>
        <w:rPr>
          <w:rFonts w:hint="eastAsia" w:ascii="黑体" w:hAnsi="黑体" w:eastAsia="黑体"/>
          <w:color w:val="auto"/>
        </w:rPr>
      </w:pPr>
      <w:r>
        <w:rPr>
          <w:rFonts w:hint="eastAsia"/>
          <w:color w:val="auto"/>
          <w:lang w:val="en-US" w:eastAsia="zh-CN"/>
        </w:rPr>
        <w:t>2.</w:t>
      </w:r>
      <w:r>
        <w:rPr>
          <w:rFonts w:hint="eastAsia"/>
          <w:color w:val="auto"/>
        </w:rPr>
        <w:t>经浙油中心后台审核通过后，权限申请成功，会员登录系统可获得相关菜单及操作权限。</w:t>
      </w:r>
      <w:bookmarkStart w:id="4" w:name="_Toc47963866"/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/>
          <w:color w:val="auto"/>
          <w:lang w:eastAsia="zh-CN"/>
        </w:rPr>
      </w:pPr>
      <w:r>
        <w:rPr>
          <w:rFonts w:hint="eastAsia" w:ascii="黑体" w:hAnsi="黑体" w:eastAsia="黑体"/>
          <w:color w:val="auto"/>
          <w:lang w:val="en-US" w:eastAsia="zh-CN"/>
        </w:rPr>
        <w:t>三</w:t>
      </w:r>
      <w:r>
        <w:rPr>
          <w:rFonts w:hint="eastAsia" w:ascii="黑体" w:hAnsi="黑体" w:eastAsia="黑体"/>
          <w:color w:val="auto"/>
        </w:rPr>
        <w:t>、银行账户绑定流程</w:t>
      </w:r>
      <w:bookmarkEnd w:id="4"/>
      <w:r>
        <w:rPr>
          <w:rFonts w:hint="eastAsia" w:ascii="黑体" w:hAnsi="黑体" w:eastAsia="黑体"/>
          <w:color w:val="auto"/>
          <w:lang w:eastAsia="zh-CN"/>
        </w:rPr>
        <w:t>（</w:t>
      </w:r>
      <w:r>
        <w:rPr>
          <w:rFonts w:hint="eastAsia" w:ascii="黑体" w:hAnsi="黑体" w:eastAsia="黑体"/>
          <w:color w:val="auto"/>
          <w:lang w:val="en-US" w:eastAsia="zh-CN"/>
        </w:rPr>
        <w:t>建设银行渠道</w:t>
      </w:r>
      <w:r>
        <w:rPr>
          <w:rFonts w:hint="eastAsia" w:ascii="黑体" w:hAnsi="黑体" w:eastAsia="黑体"/>
          <w:color w:val="auto"/>
          <w:lang w:eastAsia="zh-CN"/>
        </w:rPr>
        <w:t>）</w:t>
      </w:r>
    </w:p>
    <w:bookmarkEnd w:id="1"/>
    <w:p>
      <w:pPr>
        <w:spacing w:line="560" w:lineRule="exact"/>
        <w:ind w:firstLine="640" w:firstLineChars="200"/>
      </w:pPr>
      <w:r>
        <w:rPr>
          <w:rFonts w:hint="eastAsia"/>
        </w:rPr>
        <w:t>登录浙油中心交易系统，选择【资金系统】-【资金账户管理】-【银行账户信息绑定】，点击【新增】；新页面中“银行渠道”选择“</w:t>
      </w:r>
      <w:r>
        <w:rPr>
          <w:rFonts w:hint="eastAsia"/>
          <w:lang w:val="en-US" w:eastAsia="zh-CN"/>
        </w:rPr>
        <w:t>建设</w:t>
      </w:r>
      <w:r>
        <w:rPr>
          <w:rFonts w:hint="eastAsia"/>
        </w:rPr>
        <w:t>银行”，点击【下一步】；根据要求填写</w:t>
      </w:r>
      <w:r>
        <w:rPr>
          <w:rFonts w:hint="eastAsia"/>
          <w:lang w:val="en-US" w:eastAsia="zh-CN"/>
        </w:rPr>
        <w:t>具体的银行名称（支持非建设银行的他行账户绑定）、银行账号及其他</w:t>
      </w:r>
      <w:r>
        <w:rPr>
          <w:rFonts w:hint="eastAsia"/>
        </w:rPr>
        <w:t>信息，然后点击【绑定】，即银行账户绑定成功。</w:t>
      </w:r>
    </w:p>
    <w:p>
      <w:pPr>
        <w:jc w:val="center"/>
      </w:pPr>
      <w:r>
        <w:drawing>
          <wp:inline distT="0" distB="0" distL="0" distR="0">
            <wp:extent cx="5283200" cy="22853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r="5937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22853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109210" cy="2616200"/>
            <wp:effectExtent l="0" t="0" r="8890" b="0"/>
            <wp:docPr id="3" name="图片 3" descr="d:\Users\suny\Desktop\建行11111.png建行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Users\suny\Desktop\建行11111.png建行111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2710815" cy="2879725"/>
            <wp:effectExtent l="0" t="0" r="6985" b="3175"/>
            <wp:docPr id="4" name="图片 4" descr="d:\Users\suny\Desktop\建行22222.png建行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Users\suny\Desktop\建行22222.png建行22222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p>
      <w:pPr>
        <w:jc w:val="center"/>
        <w:rPr>
          <w:color w:val="auto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679DF"/>
    <w:rsid w:val="040D015B"/>
    <w:rsid w:val="048B5812"/>
    <w:rsid w:val="05936AC6"/>
    <w:rsid w:val="071537F5"/>
    <w:rsid w:val="0C36133B"/>
    <w:rsid w:val="0D7355A3"/>
    <w:rsid w:val="0E0D1A8B"/>
    <w:rsid w:val="100347BB"/>
    <w:rsid w:val="11304ED2"/>
    <w:rsid w:val="12B04056"/>
    <w:rsid w:val="13EC162A"/>
    <w:rsid w:val="17091346"/>
    <w:rsid w:val="183C2AE8"/>
    <w:rsid w:val="18D33C04"/>
    <w:rsid w:val="1AA3340B"/>
    <w:rsid w:val="1AB60E84"/>
    <w:rsid w:val="1DC13F70"/>
    <w:rsid w:val="1E552A29"/>
    <w:rsid w:val="1F6F17BC"/>
    <w:rsid w:val="1F92671C"/>
    <w:rsid w:val="20680A0F"/>
    <w:rsid w:val="23913B5A"/>
    <w:rsid w:val="25AA3D2E"/>
    <w:rsid w:val="26113674"/>
    <w:rsid w:val="28302C06"/>
    <w:rsid w:val="28307BFE"/>
    <w:rsid w:val="28E45D7D"/>
    <w:rsid w:val="295556C9"/>
    <w:rsid w:val="2B516DFA"/>
    <w:rsid w:val="33290C0C"/>
    <w:rsid w:val="3863551A"/>
    <w:rsid w:val="3C340212"/>
    <w:rsid w:val="3E377AFE"/>
    <w:rsid w:val="3EF431D4"/>
    <w:rsid w:val="3FEC473D"/>
    <w:rsid w:val="425D14DD"/>
    <w:rsid w:val="42C54029"/>
    <w:rsid w:val="46265EE9"/>
    <w:rsid w:val="46D90E39"/>
    <w:rsid w:val="471E5C59"/>
    <w:rsid w:val="47F547B4"/>
    <w:rsid w:val="48F60ACB"/>
    <w:rsid w:val="498473E6"/>
    <w:rsid w:val="4A4547C4"/>
    <w:rsid w:val="4AFC3FC0"/>
    <w:rsid w:val="4B3015E8"/>
    <w:rsid w:val="4C766DA2"/>
    <w:rsid w:val="4CDE4ACF"/>
    <w:rsid w:val="4D453C69"/>
    <w:rsid w:val="4D6872C4"/>
    <w:rsid w:val="4E451B91"/>
    <w:rsid w:val="4FB001DF"/>
    <w:rsid w:val="50F367A5"/>
    <w:rsid w:val="52A66FD5"/>
    <w:rsid w:val="531D6753"/>
    <w:rsid w:val="547A3EF7"/>
    <w:rsid w:val="54B82AF4"/>
    <w:rsid w:val="552237E3"/>
    <w:rsid w:val="556F58B2"/>
    <w:rsid w:val="567A7F7B"/>
    <w:rsid w:val="5733782B"/>
    <w:rsid w:val="59663356"/>
    <w:rsid w:val="5C6F3184"/>
    <w:rsid w:val="5DAF5913"/>
    <w:rsid w:val="60A06F7C"/>
    <w:rsid w:val="61640045"/>
    <w:rsid w:val="62672A5F"/>
    <w:rsid w:val="636453FB"/>
    <w:rsid w:val="64531EEC"/>
    <w:rsid w:val="647F4BC5"/>
    <w:rsid w:val="65613563"/>
    <w:rsid w:val="657C0F84"/>
    <w:rsid w:val="65D24519"/>
    <w:rsid w:val="662372F7"/>
    <w:rsid w:val="69257E71"/>
    <w:rsid w:val="69B82A12"/>
    <w:rsid w:val="6DE74460"/>
    <w:rsid w:val="6E1D7ADA"/>
    <w:rsid w:val="6EAD1789"/>
    <w:rsid w:val="6EB23BB4"/>
    <w:rsid w:val="702A2110"/>
    <w:rsid w:val="7099030A"/>
    <w:rsid w:val="70FF15AE"/>
    <w:rsid w:val="715E2EF4"/>
    <w:rsid w:val="761528FD"/>
    <w:rsid w:val="78171AE6"/>
    <w:rsid w:val="78AD4691"/>
    <w:rsid w:val="78B12F6D"/>
    <w:rsid w:val="795D1FBD"/>
    <w:rsid w:val="7AA232D2"/>
    <w:rsid w:val="7C0210F3"/>
    <w:rsid w:val="7CF47C8F"/>
    <w:rsid w:val="7F6C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0"/>
    </w:pPr>
    <w:rPr>
      <w:rFonts w:ascii="黑体" w:hAnsi="黑体" w:eastAsia="黑体" w:cs="黑体"/>
      <w:kern w:val="0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1"/>
    </w:pPr>
    <w:rPr>
      <w:rFonts w:ascii="楷体_GB2312" w:hAnsi="楷体_GB2312" w:eastAsia="楷体_GB2312" w:cs="楷体_GB2312"/>
      <w:b/>
      <w:bCs/>
    </w:rPr>
  </w:style>
  <w:style w:type="paragraph" w:styleId="4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18"/>
      <w:szCs w:val="18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bCs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0" w:firstLineChars="0"/>
      <w:jc w:val="left"/>
    </w:pPr>
    <w:rPr>
      <w:rFonts w:ascii="宋体" w:hAnsi="宋体" w:eastAsia="宋体" w:cs="宋体"/>
      <w:sz w:val="28"/>
      <w:szCs w:val="2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HTML Code"/>
    <w:basedOn w:val="10"/>
    <w:qFormat/>
    <w:uiPriority w:val="0"/>
    <w:rPr>
      <w:rFonts w:ascii="monospace" w:hAnsi="monospace" w:eastAsia="monospace" w:cs="monospace"/>
      <w:sz w:val="20"/>
    </w:rPr>
  </w:style>
  <w:style w:type="character" w:styleId="19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styleId="20">
    <w:name w:val="HTML Cite"/>
    <w:basedOn w:val="10"/>
    <w:qFormat/>
    <w:uiPriority w:val="0"/>
  </w:style>
  <w:style w:type="paragraph" w:customStyle="1" w:styleId="21">
    <w:name w:val="文题"/>
    <w:basedOn w:val="1"/>
    <w:qFormat/>
    <w:uiPriority w:val="0"/>
    <w:pPr>
      <w:spacing w:line="560" w:lineRule="exact"/>
      <w:ind w:firstLine="0" w:firstLineChars="0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22">
    <w:name w:val="奇数页码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right="320" w:rightChars="100" w:firstLine="0" w:firstLineChars="0"/>
      <w:jc w:val="right"/>
    </w:pPr>
    <w:rPr>
      <w:rFonts w:hint="eastAsia" w:ascii="宋体" w:hAnsi="宋体" w:eastAsia="宋体" w:cs="宋体"/>
      <w:sz w:val="28"/>
      <w:szCs w:val="28"/>
    </w:rPr>
  </w:style>
  <w:style w:type="paragraph" w:customStyle="1" w:styleId="23">
    <w:name w:val="偶数页码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left="320" w:leftChars="100" w:firstLine="0" w:firstLineChars="0"/>
      <w:jc w:val="left"/>
    </w:pPr>
    <w:rPr>
      <w:rFonts w:ascii="宋体" w:hAnsi="宋体" w:eastAsia="宋体" w:cs="宋体"/>
      <w:sz w:val="28"/>
      <w:szCs w:val="28"/>
    </w:rPr>
  </w:style>
  <w:style w:type="character" w:customStyle="1" w:styleId="24">
    <w:name w:val="current"/>
    <w:basedOn w:val="10"/>
    <w:qFormat/>
    <w:uiPriority w:val="0"/>
    <w:rPr>
      <w:color w:val="FFFFFF"/>
      <w:bdr w:val="single" w:color="428BCA" w:sz="4" w:space="0"/>
      <w:shd w:val="clear" w:fill="428BCA"/>
    </w:rPr>
  </w:style>
  <w:style w:type="character" w:customStyle="1" w:styleId="25">
    <w:name w:val="disabled"/>
    <w:basedOn w:val="10"/>
    <w:qFormat/>
    <w:uiPriority w:val="0"/>
    <w:rPr>
      <w:color w:val="BFBFBF"/>
      <w:bdr w:val="single" w:color="BFBFBF" w:sz="4" w:space="0"/>
      <w:shd w:val="clear" w:fill="F2F2F2"/>
    </w:rPr>
  </w:style>
  <w:style w:type="character" w:customStyle="1" w:styleId="26">
    <w:name w:val="disabled1"/>
    <w:basedOn w:val="10"/>
    <w:qFormat/>
    <w:uiPriority w:val="0"/>
    <w:rPr>
      <w:color w:val="D9D9D9"/>
      <w:bdr w:val="single" w:color="EFEFEF" w:sz="4" w:space="0"/>
    </w:rPr>
  </w:style>
  <w:style w:type="character" w:customStyle="1" w:styleId="27">
    <w:name w:val="disabled2"/>
    <w:basedOn w:val="10"/>
    <w:qFormat/>
    <w:uiPriority w:val="0"/>
    <w:rPr>
      <w:color w:val="BFBFBF"/>
      <w:bdr w:val="single" w:color="BFBFBF" w:sz="4" w:space="0"/>
      <w:shd w:val="clear" w:fill="F2F2F2"/>
    </w:rPr>
  </w:style>
  <w:style w:type="character" w:customStyle="1" w:styleId="28">
    <w:name w:val="disabled3"/>
    <w:basedOn w:val="10"/>
    <w:qFormat/>
    <w:uiPriority w:val="0"/>
    <w:rPr>
      <w:color w:val="BFBFBF"/>
      <w:bdr w:val="single" w:color="BFBFBF" w:sz="4" w:space="0"/>
      <w:shd w:val="clear" w:fill="F2F2F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536</Words>
  <Characters>562</Characters>
  <Lines>0</Lines>
  <Paragraphs>0</Paragraphs>
  <TotalTime>4</TotalTime>
  <ScaleCrop>false</ScaleCrop>
  <LinksUpToDate>false</LinksUpToDate>
  <CharactersWithSpaces>567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2020-09-18T01:58:00Z</dcterms:created>
  <dc:creator>great</dc:creator>
  <cp:lastModifiedBy>孙艳</cp:lastModifiedBy>
  <dcterms:modified xsi:type="dcterms:W3CDTF">2021-12-03T10:37:47Z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