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after="0" w:line="560" w:lineRule="exact"/>
        <w:jc w:val="center"/>
        <w:rPr>
          <w:rFonts w:hint="eastAsia" w:ascii="黑体" w:hAnsi="黑体" w:eastAsia="黑体" w:cs="黑体"/>
          <w:b w:val="0"/>
          <w:bCs w:val="0"/>
          <w:color w:val="5B9BD5" w:themeColor="accent1"/>
          <w:kern w:val="2"/>
          <w:sz w:val="44"/>
          <w:szCs w:val="44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/>
        </w:rPr>
        <w:t>竞买人（买方）操作流程</w:t>
      </w:r>
    </w:p>
    <w:p>
      <w:pPr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一、入出金（建行）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入金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买方</w:t>
      </w:r>
      <w:r>
        <w:rPr>
          <w:rFonts w:hint="eastAsia" w:ascii="仿宋_GB2312" w:hAnsi="仿宋_GB2312" w:eastAsia="仿宋_GB2312" w:cs="仿宋_GB2312"/>
          <w:sz w:val="32"/>
          <w:szCs w:val="32"/>
        </w:rPr>
        <w:t>可通过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网银或柜台转账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方式，将资金从银行账户划转至浙油中心存管账户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具体入金账号需通过浙油中心交易系统：</w:t>
      </w:r>
      <w:r>
        <w:rPr>
          <w:rFonts w:hint="eastAsia" w:ascii="仿宋_GB2312" w:hAnsi="仿宋_GB2312" w:eastAsia="仿宋_GB2312" w:cs="仿宋_GB2312"/>
          <w:sz w:val="32"/>
          <w:szCs w:val="32"/>
        </w:rPr>
        <w:t>【资金系统】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</w:rPr>
        <w:t>【资金账户管理】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</w:rPr>
        <w:t>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银行账户信息绑定</w:t>
      </w:r>
      <w:r>
        <w:rPr>
          <w:rFonts w:hint="eastAsia" w:ascii="仿宋_GB2312" w:hAnsi="仿宋_GB2312" w:eastAsia="仿宋_GB2312" w:cs="仿宋_GB2312"/>
          <w:sz w:val="32"/>
          <w:szCs w:val="32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查看，如下图所示：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sz w:val="21"/>
        </w:rPr>
      </w:pPr>
      <w:r>
        <w:rPr>
          <w:sz w:val="21"/>
        </w:rPr>
        <w:drawing>
          <wp:inline distT="0" distB="0" distL="114300" distR="114300">
            <wp:extent cx="5609590" cy="1517650"/>
            <wp:effectExtent l="0" t="0" r="3810" b="6350"/>
            <wp:docPr id="19" name="图片 19" descr="16256486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2564865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946785" y="4279900"/>
                      <a:ext cx="560959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5609590" cy="2357120"/>
            <wp:effectExtent l="0" t="0" r="3810" b="5080"/>
            <wp:docPr id="11" name="图片 11" descr="16256487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2564874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978535" y="5873115"/>
                      <a:ext cx="560959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会员</w:t>
      </w:r>
      <w:r>
        <w:rPr>
          <w:rFonts w:hint="eastAsia" w:ascii="仿宋_GB2312" w:hAnsi="仿宋_GB2312" w:eastAsia="仿宋_GB2312" w:cs="仿宋_GB2312"/>
          <w:sz w:val="32"/>
          <w:szCs w:val="32"/>
        </w:rPr>
        <w:t>将资金从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资金账户</w:t>
      </w:r>
      <w:r>
        <w:rPr>
          <w:rFonts w:hint="eastAsia" w:ascii="仿宋_GB2312" w:hAnsi="仿宋_GB2312" w:eastAsia="仿宋_GB2312" w:cs="仿宋_GB2312"/>
          <w:sz w:val="32"/>
          <w:szCs w:val="32"/>
        </w:rPr>
        <w:t>划转至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招拍挂结算账户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选择【资金系统】-【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账户账务管理】-【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资金账户转结算账户</w:t>
      </w:r>
      <w:r>
        <w:rPr>
          <w:rFonts w:hint="eastAsia" w:ascii="仿宋_GB2312" w:hAnsi="仿宋_GB2312" w:eastAsia="仿宋_GB2312" w:cs="仿宋_GB2312"/>
          <w:sz w:val="32"/>
          <w:szCs w:val="32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如只开通了单个交易权限则略过该步骤。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eastAsia="仿宋_GB2312"/>
          <w:lang w:val="en-US" w:eastAsia="zh-CN"/>
        </w:rPr>
      </w:pPr>
      <w:r>
        <w:drawing>
          <wp:inline distT="0" distB="0" distL="114300" distR="114300">
            <wp:extent cx="3401695" cy="2846070"/>
            <wp:effectExtent l="0" t="0" r="1905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r="12925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2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出金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1.买方登录浙油中心交易系统，选择【资金系统】-【结算账户账务管理】-【结算账户转资金账户】。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5450205" cy="2341880"/>
            <wp:effectExtent l="0" t="0" r="10795" b="7620"/>
            <wp:docPr id="5" name="图片 5" descr="3768e5c6aee65cea05d0b827d5b07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68e5c6aee65cea05d0b827d5b079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买方登录浙油中心交易系统，选择【资金系统】-【资金账户账务管理】-【出金】。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</w:pPr>
      <w:r>
        <w:drawing>
          <wp:inline distT="0" distB="0" distL="0" distR="0">
            <wp:extent cx="3338195" cy="2764790"/>
            <wp:effectExtent l="0" t="0" r="1905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48051" cy="277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二、拍卖流程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（一）查看拍卖场次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浙油中心官网（www.zme.com.cn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查看拍卖公告。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（二）回应拍卖场次</w:t>
      </w:r>
    </w:p>
    <w:p>
      <w:pPr>
        <w:keepNext w:val="0"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登录浙油中心交易系统，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击并查看对应场次详情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确认参加此场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拍卖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后点击场次回应。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系统操作：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【现货招拍挂】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【采购拍卖管理】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【拍卖场次查询】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详情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【场次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回应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450205" cy="2092325"/>
            <wp:effectExtent l="0" t="0" r="10795" b="3175"/>
            <wp:docPr id="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20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5450205" cy="3418205"/>
            <wp:effectExtent l="0" t="0" r="10795" b="10795"/>
            <wp:docPr id="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注：场次回应时会冻结买方订金，买方订金不足则无法入场竞拍。买方订金是由卖方设置拍卖专场时设定，作为拍卖入场资格及履约保证金使用，竞拍成功，买方订金自动转为货款。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（三）竞价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拍卖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点击详情，参与拍卖（出价）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出价方式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（1）买方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手动出价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；（2）系统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代理出价（当标段最新价不大于设定金额时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系统可代理按价格梯度出价）。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系统操作：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【现货招拍挂】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【采购拍卖管理】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【我回应的场次】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详情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参与拍卖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</w:p>
    <w:p>
      <w:pPr>
        <w:pStyle w:val="28"/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890260" cy="1690370"/>
            <wp:effectExtent l="0" t="0" r="2540" b="11430"/>
            <wp:docPr id="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8"/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448935" cy="2555875"/>
            <wp:effectExtent l="0" t="0" r="1206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rcRect l="113" r="3048"/>
                    <a:stretch>
                      <a:fillRect/>
                    </a:stretch>
                  </pic:blipFill>
                  <pic:spPr>
                    <a:xfrm>
                      <a:off x="949325" y="3810635"/>
                      <a:ext cx="5448935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19700" cy="967740"/>
            <wp:effectExtent l="0" t="0" r="0" b="10160"/>
            <wp:docPr id="3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985520" y="6346825"/>
                      <a:ext cx="521970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</w:pPr>
    </w:p>
    <w:p>
      <w:pPr>
        <w:pStyle w:val="28"/>
        <w:bidi w:val="0"/>
      </w:pPr>
      <w:r>
        <w:drawing>
          <wp:inline distT="0" distB="0" distL="114300" distR="114300">
            <wp:extent cx="5450205" cy="1992630"/>
            <wp:effectExtent l="0" t="0" r="10795" b="1270"/>
            <wp:docPr id="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（四）查看竞价结果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Toc18511"/>
      <w:bookmarkStart w:id="1" w:name="_Toc196"/>
      <w:bookmarkStart w:id="2" w:name="_Toc22193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竞价结束后，系统根据成交原则自动评定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是否竞价成功。</w:t>
      </w:r>
      <w:bookmarkEnd w:id="0"/>
      <w:bookmarkEnd w:id="1"/>
      <w:bookmarkEnd w:id="2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如竞价未成功，系统自动解冻买方订金。</w:t>
      </w:r>
    </w:p>
    <w:p>
      <w:pPr>
        <w:keepNext w:val="0"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系统操作：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【现货招拍挂】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【采购拍卖管理】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【拍卖成交查询】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查看成交标段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</w:p>
    <w:p>
      <w:pPr>
        <w:pStyle w:val="28"/>
        <w:bidi w:val="0"/>
      </w:pPr>
      <w:bookmarkStart w:id="3" w:name="_Toc30164"/>
      <w:bookmarkStart w:id="4" w:name="_Toc15563"/>
      <w:bookmarkStart w:id="5" w:name="_Toc15852"/>
      <w:r>
        <w:drawing>
          <wp:inline distT="0" distB="0" distL="114300" distR="114300">
            <wp:extent cx="5625465" cy="1569720"/>
            <wp:effectExtent l="0" t="0" r="635" b="5080"/>
            <wp:docPr id="2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2546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  <w:bookmarkEnd w:id="4"/>
      <w:bookmarkEnd w:id="5"/>
    </w:p>
    <w:p>
      <w:pPr>
        <w:pStyle w:val="28"/>
        <w:bidi w:val="0"/>
        <w:rPr>
          <w:rFonts w:hint="default"/>
          <w:lang w:val="en-US" w:eastAsia="zh-CN"/>
        </w:rPr>
      </w:pPr>
    </w:p>
    <w:sectPr>
      <w:footerReference r:id="rId5" w:type="first"/>
      <w:headerReference r:id="rId3" w:type="default"/>
      <w:footerReference r:id="rId4" w:type="default"/>
      <w:pgSz w:w="11907" w:h="16839"/>
      <w:pgMar w:top="2155" w:right="1531" w:bottom="2155" w:left="1531" w:header="851" w:footer="158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 w:eastAsia="宋体"/>
        <w:sz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848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KyQwk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yskMJ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9250848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A671F4"/>
    <w:multiLevelType w:val="singleLevel"/>
    <w:tmpl w:val="DCA671F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6B"/>
    <w:rsid w:val="00002649"/>
    <w:rsid w:val="00077F6D"/>
    <w:rsid w:val="000E52FF"/>
    <w:rsid w:val="000F0980"/>
    <w:rsid w:val="00151760"/>
    <w:rsid w:val="00201571"/>
    <w:rsid w:val="00203D15"/>
    <w:rsid w:val="00215DAF"/>
    <w:rsid w:val="00226354"/>
    <w:rsid w:val="00265C33"/>
    <w:rsid w:val="002731F3"/>
    <w:rsid w:val="002A0DD2"/>
    <w:rsid w:val="002A22B3"/>
    <w:rsid w:val="002B3104"/>
    <w:rsid w:val="002E7269"/>
    <w:rsid w:val="003917C0"/>
    <w:rsid w:val="00411610"/>
    <w:rsid w:val="004232C1"/>
    <w:rsid w:val="00473829"/>
    <w:rsid w:val="004B0679"/>
    <w:rsid w:val="00560739"/>
    <w:rsid w:val="00571387"/>
    <w:rsid w:val="005C65D9"/>
    <w:rsid w:val="0065021E"/>
    <w:rsid w:val="006B10CE"/>
    <w:rsid w:val="00754709"/>
    <w:rsid w:val="007C26AA"/>
    <w:rsid w:val="008604EB"/>
    <w:rsid w:val="008B5A6B"/>
    <w:rsid w:val="008E05FF"/>
    <w:rsid w:val="0090756D"/>
    <w:rsid w:val="0094216F"/>
    <w:rsid w:val="00985984"/>
    <w:rsid w:val="009B44D6"/>
    <w:rsid w:val="00A257E1"/>
    <w:rsid w:val="00A52D8F"/>
    <w:rsid w:val="00AB535E"/>
    <w:rsid w:val="00AC441D"/>
    <w:rsid w:val="00AE794A"/>
    <w:rsid w:val="00B06877"/>
    <w:rsid w:val="00B115D8"/>
    <w:rsid w:val="00B2174B"/>
    <w:rsid w:val="00B256F8"/>
    <w:rsid w:val="00B2574A"/>
    <w:rsid w:val="00B465C9"/>
    <w:rsid w:val="00B66767"/>
    <w:rsid w:val="00BA0AEC"/>
    <w:rsid w:val="00BA73D1"/>
    <w:rsid w:val="00BC4EF9"/>
    <w:rsid w:val="00C216C2"/>
    <w:rsid w:val="00C83421"/>
    <w:rsid w:val="00C9215A"/>
    <w:rsid w:val="00CE1354"/>
    <w:rsid w:val="00D42A53"/>
    <w:rsid w:val="00D55C7E"/>
    <w:rsid w:val="00D92659"/>
    <w:rsid w:val="00E03031"/>
    <w:rsid w:val="00E570EA"/>
    <w:rsid w:val="00E618A8"/>
    <w:rsid w:val="00E77B98"/>
    <w:rsid w:val="00EA5A75"/>
    <w:rsid w:val="00EB233D"/>
    <w:rsid w:val="00F00E1A"/>
    <w:rsid w:val="00F722E1"/>
    <w:rsid w:val="00F878A6"/>
    <w:rsid w:val="00FB29D2"/>
    <w:rsid w:val="00FE57BB"/>
    <w:rsid w:val="00FF63CE"/>
    <w:rsid w:val="02C43382"/>
    <w:rsid w:val="048B4DC8"/>
    <w:rsid w:val="06C25F2C"/>
    <w:rsid w:val="08686E34"/>
    <w:rsid w:val="08D71E18"/>
    <w:rsid w:val="09E15E20"/>
    <w:rsid w:val="09FB53AB"/>
    <w:rsid w:val="0C8E481D"/>
    <w:rsid w:val="0DE400E2"/>
    <w:rsid w:val="0DEF7038"/>
    <w:rsid w:val="0E7F5971"/>
    <w:rsid w:val="101B448F"/>
    <w:rsid w:val="12A87686"/>
    <w:rsid w:val="13A91FAF"/>
    <w:rsid w:val="14D22383"/>
    <w:rsid w:val="16372E9A"/>
    <w:rsid w:val="186018F7"/>
    <w:rsid w:val="188D2D85"/>
    <w:rsid w:val="19C750C6"/>
    <w:rsid w:val="1A4E016C"/>
    <w:rsid w:val="1AE458B3"/>
    <w:rsid w:val="1BBF7511"/>
    <w:rsid w:val="1BFF6FFC"/>
    <w:rsid w:val="1C720820"/>
    <w:rsid w:val="200E5350"/>
    <w:rsid w:val="20CF4616"/>
    <w:rsid w:val="225F5377"/>
    <w:rsid w:val="230133B8"/>
    <w:rsid w:val="24D03FB3"/>
    <w:rsid w:val="257D4A78"/>
    <w:rsid w:val="25845E5F"/>
    <w:rsid w:val="2615711A"/>
    <w:rsid w:val="26EC16D8"/>
    <w:rsid w:val="29221BC1"/>
    <w:rsid w:val="296E4837"/>
    <w:rsid w:val="299F7AF3"/>
    <w:rsid w:val="2A8B116F"/>
    <w:rsid w:val="2CCC0C23"/>
    <w:rsid w:val="2E91314C"/>
    <w:rsid w:val="358A3256"/>
    <w:rsid w:val="381E347F"/>
    <w:rsid w:val="39B16F56"/>
    <w:rsid w:val="39DB74B3"/>
    <w:rsid w:val="3A2712AE"/>
    <w:rsid w:val="3A4D11F8"/>
    <w:rsid w:val="3AAF7C13"/>
    <w:rsid w:val="3B2E797D"/>
    <w:rsid w:val="3D4E39B1"/>
    <w:rsid w:val="444619A3"/>
    <w:rsid w:val="466E0DAF"/>
    <w:rsid w:val="4A4100D4"/>
    <w:rsid w:val="50004934"/>
    <w:rsid w:val="5416661D"/>
    <w:rsid w:val="56636218"/>
    <w:rsid w:val="56D63966"/>
    <w:rsid w:val="57B80045"/>
    <w:rsid w:val="58A16E7F"/>
    <w:rsid w:val="5AAF35C2"/>
    <w:rsid w:val="5F881CD1"/>
    <w:rsid w:val="5FA96E93"/>
    <w:rsid w:val="600C6929"/>
    <w:rsid w:val="608D5017"/>
    <w:rsid w:val="612F1A7F"/>
    <w:rsid w:val="628F19C8"/>
    <w:rsid w:val="63AC67F3"/>
    <w:rsid w:val="63EB50EA"/>
    <w:rsid w:val="647A370F"/>
    <w:rsid w:val="64E36B75"/>
    <w:rsid w:val="684E7BB9"/>
    <w:rsid w:val="6A71152F"/>
    <w:rsid w:val="6C7D7193"/>
    <w:rsid w:val="6D0B11D7"/>
    <w:rsid w:val="6E4B7151"/>
    <w:rsid w:val="70CE3A4A"/>
    <w:rsid w:val="71412FC5"/>
    <w:rsid w:val="722A24D8"/>
    <w:rsid w:val="73C126CD"/>
    <w:rsid w:val="742273CE"/>
    <w:rsid w:val="745C3D54"/>
    <w:rsid w:val="76405682"/>
    <w:rsid w:val="769E365F"/>
    <w:rsid w:val="78046E4E"/>
    <w:rsid w:val="79E4311D"/>
    <w:rsid w:val="7A3C3456"/>
    <w:rsid w:val="7B760C08"/>
    <w:rsid w:val="7DB7368C"/>
    <w:rsid w:val="7E8B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tabs>
        <w:tab w:val="right" w:leader="dot" w:pos="8296"/>
      </w:tabs>
      <w:spacing w:line="460" w:lineRule="exact"/>
    </w:pPr>
  </w:style>
  <w:style w:type="paragraph" w:styleId="8">
    <w:name w:val="toc 2"/>
    <w:basedOn w:val="1"/>
    <w:next w:val="1"/>
    <w:unhideWhenUsed/>
    <w:qFormat/>
    <w:uiPriority w:val="39"/>
    <w:pPr>
      <w:tabs>
        <w:tab w:val="right" w:leader="dot" w:pos="8296"/>
      </w:tabs>
      <w:spacing w:line="460" w:lineRule="exact"/>
      <w:ind w:left="420" w:leftChars="200"/>
    </w:p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3"/>
    <w:next w:val="3"/>
    <w:link w:val="24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Char"/>
    <w:basedOn w:val="13"/>
    <w:link w:val="6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5"/>
    <w:qFormat/>
    <w:uiPriority w:val="99"/>
    <w:rPr>
      <w:sz w:val="18"/>
      <w:szCs w:val="18"/>
    </w:rPr>
  </w:style>
  <w:style w:type="character" w:customStyle="1" w:styleId="18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9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styleId="21">
    <w:name w:val="No Spacing"/>
    <w:link w:val="22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2">
    <w:name w:val="无间隔 Char"/>
    <w:basedOn w:val="13"/>
    <w:link w:val="21"/>
    <w:qFormat/>
    <w:uiPriority w:val="1"/>
    <w:rPr>
      <w:kern w:val="0"/>
      <w:sz w:val="22"/>
    </w:rPr>
  </w:style>
  <w:style w:type="character" w:customStyle="1" w:styleId="23">
    <w:name w:val="批注文字 Char"/>
    <w:basedOn w:val="13"/>
    <w:link w:val="3"/>
    <w:semiHidden/>
    <w:qFormat/>
    <w:uiPriority w:val="99"/>
  </w:style>
  <w:style w:type="character" w:customStyle="1" w:styleId="24">
    <w:name w:val="批注主题 Char"/>
    <w:basedOn w:val="23"/>
    <w:link w:val="10"/>
    <w:semiHidden/>
    <w:qFormat/>
    <w:uiPriority w:val="99"/>
    <w:rPr>
      <w:b/>
      <w:bCs/>
    </w:rPr>
  </w:style>
  <w:style w:type="character" w:customStyle="1" w:styleId="25">
    <w:name w:val="批注框文本 Char"/>
    <w:basedOn w:val="13"/>
    <w:link w:val="4"/>
    <w:semiHidden/>
    <w:qFormat/>
    <w:uiPriority w:val="99"/>
    <w:rPr>
      <w:sz w:val="18"/>
      <w:szCs w:val="18"/>
    </w:rPr>
  </w:style>
  <w:style w:type="paragraph" w:customStyle="1" w:styleId="26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7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8">
    <w:name w:val="图片1"/>
    <w:qFormat/>
    <w:uiPriority w:val="0"/>
    <w:pPr>
      <w:ind w:leftChars="0"/>
      <w:jc w:val="center"/>
    </w:pPr>
    <w:rPr>
      <w:rFonts w:ascii="+西文正文" w:hAnsi="+西文正文" w:eastAsia="+中文正文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3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verPageProperties xmlns="http://schemas.microsoft.com/office/2006/coverPageProps">
  <PublishDate>2019-01-01T00:00:00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F3BBB4-9361-4E28-BCFE-468EEB7BDED7}">
  <ds:schemaRefs/>
</ds:datastoreItem>
</file>

<file path=customXml/itemProps3.xml><?xml version="1.0" encoding="utf-8"?>
<ds:datastoreItem xmlns:ds="http://schemas.openxmlformats.org/officeDocument/2006/customXml" ds:itemID="{55AF091B-3C7A-41E3-B477-F2FDAA2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浙江石油化工交易中心有限公司</Company>
  <Pages>12</Pages>
  <Words>528</Words>
  <Characters>3014</Characters>
  <Lines>25</Lines>
  <Paragraphs>7</Paragraphs>
  <TotalTime>2</TotalTime>
  <ScaleCrop>false</ScaleCrop>
  <LinksUpToDate>false</LinksUpToDate>
  <CharactersWithSpaces>3535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2019-05-16T07:26:00Z</dcterms:created>
  <dc:creator>Admin</dc:creator>
  <cp:lastModifiedBy>孙艳</cp:lastModifiedBy>
  <dcterms:modified xsi:type="dcterms:W3CDTF">2021-12-21T06:45:17Z</dcterms:modified>
  <dc:title>浙江石油化工交易中心有限公司现货挂牌交易手册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